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47" w:type="dxa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1"/>
        <w:gridCol w:w="3146"/>
        <w:gridCol w:w="283"/>
        <w:gridCol w:w="1276"/>
        <w:gridCol w:w="992"/>
        <w:gridCol w:w="851"/>
        <w:gridCol w:w="992"/>
        <w:gridCol w:w="851"/>
        <w:gridCol w:w="85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06" w:type="dxa"/>
            <w:gridSpan w:val="9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EXTRAÇÃO MINERAL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1.01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Extração de rochas para produção de paralelepípedo e outros artefatos artesanais.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mensal (m³/mês)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≤ 200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200 &lt; PM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&gt; 1.000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1.02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Extração de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 argila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para produção de cerâmicas e outros produtos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industriais/artesanais.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≤2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3,0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3,0 &lt; AU &lt; 5,0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5,0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9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1.03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Extração 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feldspato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e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caulim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paraproduçãodecerâmicaseoutrosprodutosindustriais/ artesanais.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3,0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3,0 &lt; AU &lt; 5,0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5,0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1.04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Extração de agregados da construção civil, tais como areia, argila, saibro, cascalho, quartzito friável e outros,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exceto pedra britada.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 ≤5,0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5,0 &lt; AU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&gt;10,0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9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1.05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Captação de água mineral/potável de mesa (fonte/surgência) para comercialização, associado ou não ao envase.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1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1.06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Extração de areia em leito de rio.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Índice(I)  =  Área  útil  (ha)  do  (s)   portos  de Estocagem/Carregamento x Volume (m³/mês)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≤200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≤250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250 &lt; I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500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8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06" w:type="dxa"/>
            <w:gridSpan w:val="9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ATIVIDADES AGROPECUÁRIAS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Unidades de resfriamento, refrigeração ou congelamento de vegetais,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exceto produção 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3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Suinocultura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(ciclo completo sem lançamento de efluentes líquido em corpo hídrico e/ou em cama sobreposta)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máximo de cabeças por ciclo (cap. Instalada)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NC ≤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IDAF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NC ≤ 100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tcW w:w="54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2.03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Suinocultura (exclusivo para produção de leitões/maternidade), sem lançamento de efluentes líquido em corpo hídrico e/ou em cama sobreposta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de matrizes(capacidade instalada)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NM ≤ 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IDAF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NM ≤ 30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4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56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4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4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2.04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Suinocultura (exclusivo para terminação) sem lançamento de efluentes líquidos em corpo hídrico e/ou em cama sobreposta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de matrizes por ciclo (capacidade instalada)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NC ≤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IDAF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NC ≤ 100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2.05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Incubatório de ovos/Produção de pintos de 1 dia.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incubação (em numero de ovos)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46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2.06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Avicultura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de confinamento de aves (área de galpões construída, em 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AC  ≤ 2000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2.000 &lt; AC &lt; 12.000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AC  ≤ 12.000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3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2.07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Unidade de resfriamento / lavagem de aves vivas para transporte.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2.08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Criação de animais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pequeno  porte  confinados  em  ambiente  não  aquático,  exceto  fauna silvestre.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de confinamento de animais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AC  ≤ 2.000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2.000 &lt; AC &lt; 6.000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AC ≥ 6.000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3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2.09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Criação de animais de médio ou grande porte confinados em ambiente não aquático, exceto fauna silvestre.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Máximo de Cabeças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NC  ≤ 200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200 &lt; NC&lt;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3.500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NC ≥ 3.500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1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2.10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Secagem mecânica de grãos, associada ou não a pilagem.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instalada (Volume total dos secadores em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litros)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CI &lt; 60.000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CI &gt; 60.000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9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2.11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Pilagem de grãos (exclusivo para piladoras fixa), não associada à secagem mecânica.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instalada (sacas/hora)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2.12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Despolpamento/descascamento de café, em via úmida.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instalada (litros de café/h)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CI  ≤3000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IDAF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CI  ≤3000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67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2.13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Central de seleção, tratamento e embalagem de produtos vegetais; packinghouse.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construída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≤ 600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600 &lt; A &lt;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 &lt; A &lt; 1.500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3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2.14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Classificação de ovos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construída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≤ 600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600 &lt; A &lt;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 &lt; A &lt; 1.500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306" w:type="dxa"/>
            <w:gridSpan w:val="9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PRODUTOS MINERAIS NÃO METÁLICOS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Desdobramento de Rochas Ornamentais, quando exclusivo.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 de  produção  de  chapas desdobradas (m²/mês)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CMCP ≤ 5.000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5.000 &lt; CMCP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20.000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CMCD &gt; 20.000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Polimento de Rochas Ornamentais, quando exclusivo.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 de  produção  de  chapas polidas (m²/mês)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CMCP ≤ 4.500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4.500 &lt; CMCP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page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37.500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CMCP &gt; 37.500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3.03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Corte e Acabamento/ Aparelhamento de Rochas Ornamentais e/ou polimento manual ou semiautomático, quando exclusivos.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≤ 13.500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&gt; 13.500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5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3.04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Desdobramento e/ou polimento e/ou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corte  e  aparelhamento  de  rochas  ornamentais,  quando associados entre si.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 de  produção,  somando  o produto de todas as fases (m²/mês)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&lt; 3.000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3.000 &lt; CMP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15.000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15.000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3.05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artigos de cerâmica refratária ou de utensílios sanitários e outros.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mensal em Número de peças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≤ 100.000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100.000 &lt; PM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300.000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&gt; 300.000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6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3.06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artigos para revestimento cerâmico (placas cerâmicas, porcelanato, etc.)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mensal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≤ 165.000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165.000 &lt; PM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660.000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&gt; 660.000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98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3.07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artigos de cerâmica vermelha (telhas, tijolos, lajotas, manilhas e afins).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mensal em Número de peças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Consumo mensal de matéria-prima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&lt; 150 m³/mês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&lt; 600.000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≤ 600.000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8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3.08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Ensacamento de argila, areia e afins para construção civil.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mensal (m³/mês)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9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3.09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Beneficiamento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rochas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para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pedra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britada,produtos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siderúrgicos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ou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para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outros usos industriais/agrícolas.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mensal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&lt; 20.000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20.000 &lt; PM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50.00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 ≤ 50.00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3.10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Beneficiamento de areia para usos diversos ou de rochas para produção de pedras decorativas.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mensal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&lt; 200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200 &lt; PM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PM ≤ 1.000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3.11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Limpeza de blocos de rochas ornamentais.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3.12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Beneficiamento Manual de Rochas para Produção de Paralelepípedo e outros Artefatos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Artesanais.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306" w:type="dxa"/>
            <w:gridSpan w:val="9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TRANSFORMAÇÃO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1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4.01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concreto e afim, não incluindo a fabricação de cimento.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(m³/mês)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&lt; 1.000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 &lt; CMP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2.500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2.500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2.500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4.02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Usina de produção de asfalto a frio.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 produção   dos   equipamentos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(t/h)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CPE ≤ 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40 &lt; CPE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CPE &gt; 120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4.03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Usina de produção de asfalto a quente.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 produção   dos   equipamentos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(t/h)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CPE ≤ 80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CPE ≤ 80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306" w:type="dxa"/>
            <w:gridSpan w:val="9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METALMECÂNICA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4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chapas lisas ou corrugadas, bobinas, tiras e fitas, perfis, barras redondas, chatas ou quadradas, vergalhões, tubos e fios, de metais e ligas ferrosas e não ferrosas, a quente ou a frio, desde que sem tratamento químico superficial e/ou galvanotécnico.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5.000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5000 &lt; CMP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25.000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8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Relaminação de metais e ligas não-ferrosos.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100 &lt; CMP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500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</w:tbl>
    <w:p>
      <w:r>
        <w:br w:type="page"/>
      </w:r>
    </w:p>
    <w:tbl>
      <w:tblPr>
        <w:tblStyle w:val="6"/>
        <w:tblW w:w="10864" w:type="dxa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1"/>
        <w:gridCol w:w="3146"/>
        <w:gridCol w:w="283"/>
        <w:gridCol w:w="1276"/>
        <w:gridCol w:w="992"/>
        <w:gridCol w:w="851"/>
        <w:gridCol w:w="992"/>
        <w:gridCol w:w="851"/>
        <w:gridCol w:w="85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5.03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de soldas e anodos.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 &lt; CMP ≤ 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1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5.04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Metalurgia do pó, inclusive peças moldadas (ferramentas de usinagem e outras).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&lt;1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&lt;1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CMP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5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8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5.05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e/ou manutenção de estruturas metálicas e/ou artefatos de metais ou ligas ferrosas, ou não-ferrosas,  laminados,  extrudados,  trefilados,  inclusive  móveis,  máquinas,  aparelhos,  peças, acessórios,  tanques,  reservatórios  e  outros  recipientes  metálicos  de  caldeiraria,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pintura  por aspersão, tratamento superficial químico, termoquímico, galvanotécnico e jateamento.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Processamento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 (t/mês) ≤ 5 ou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= Área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construida + área de estocagem, quando houver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0,1 ha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  ≤ 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CP 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 &gt;5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67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5.06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e/ou manutenção de estruturas metálicas e/ou artefatos de metais ou ligas ferrosas, ou não-ferrosas,  laminados,  extrudados,  trefilados,  inclusive  móveis,  máquinas,  aparelhos,  peças, acessórios,  tanques,  reservatórios  e  outros  recipientes  metálicos  de  caldeiraria,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com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pintura  por aspersão e/ou jateamento, e sem tratamento superficial químico, termoquímico, galvanotécnico.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  ≤ 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CP 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 &gt;5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5.07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Reparação, retifica, Lanternagem e/ou manutenção de máquinas, aparelhos e equipamentos mecânicos diversos, inclusive motores automotivos,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pintura por aspersão, incluindo oficinas mecânicas.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(AU)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page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 ≤ 0,1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AU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3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5.08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Reparação, retifica,Lanternagem  e/ou  manutenção  de  máquinas,  aparelhos  e  equipamentos mecânicos  diversos,  inclusive  motores automotivos,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com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pintura  por aspersão,  incluindo oficinas mecânicas.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AU ≤ 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7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5.09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Placas e Tarjetas Refletivas para veículos automotivos.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4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5.10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Serralheria (somente corte).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200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323" w:type="dxa"/>
            <w:gridSpan w:val="9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MATERIAL ELÉTRICO E DE COMUNICAÇÃO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6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6.01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e/ou montagem de material elétrico (peças, geradores, motores e outros).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≤ 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1-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7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6.02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e/ou montagem de máquinas, aparelhos e equipamentos para comunicação e informática.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</w:tbl>
    <w:p>
      <w:r>
        <w:br w:type="page"/>
      </w:r>
    </w:p>
    <w:tbl>
      <w:tblPr>
        <w:tblStyle w:val="6"/>
        <w:tblW w:w="10849" w:type="dxa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1"/>
        <w:gridCol w:w="3146"/>
        <w:gridCol w:w="283"/>
        <w:gridCol w:w="1276"/>
        <w:gridCol w:w="992"/>
        <w:gridCol w:w="851"/>
        <w:gridCol w:w="992"/>
        <w:gridCol w:w="851"/>
        <w:gridCol w:w="85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541" w:type="dxa"/>
            <w:shd w:val="clear" w:color="000000" w:fill="D7D7D7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308" w:type="dxa"/>
            <w:gridSpan w:val="9"/>
            <w:shd w:val="clear" w:color="000000" w:fill="D7D7D7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MATERIAL DE TRANSPORTE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9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7.01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Estaleiros Artesanais, contemplando fabricação, montagem, reparação e/ou manutenção de embarcações e estruturas flutuantes,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exclusivamente de madeira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= Área Total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≤0,05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0,05 &lt; AT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page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≤ 0,5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7.02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Estaleiros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Náuticos,   contemplando   fabricação,   montagem,   reparação   e/ou   manutenção   de embarcações e estruturas flutuantes,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que utilizam fibra.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= Área Total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≤0,05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0,05 &lt; AT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≤ 0,5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17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7.03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e/ou Montagem de meios de transporte rodoviário e aeroviário.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≤0,2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≤ 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308" w:type="dxa"/>
            <w:gridSpan w:val="9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MADEIRA E MOBILIÁRIO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28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8.01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Serrarias e/ou fabricação de artefatos e estruturas de madeira, bambu, vime, junco, xaxim, palha trançada ou cortiça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afins,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sem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pintura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e/ou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outras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proteções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superficiais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(ferramentas, móveis,chapas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placas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madeira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compensada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ou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prensada,revestidas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ou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com material plástico, entre outros),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exceto para aplicação rura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l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Volume mensal de madeira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ser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serrada (m³/mês)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Volume de madeira a ser processada (VMMP)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50 m³/mês ou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 + área de estocagem, quando houver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VMP ≤ 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 &lt; VMP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VMP &gt; 500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3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8.02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Serrarias e/ou fabricação de artefatos e estruturas de madeira, bambu, vime, junco, xaxim, palha trançada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ou  cortiça  e  afins,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com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pintura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e/ou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outras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proteções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superficiais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(ferramentas, móveis,  chapas  e  placas  de  madeira  compensada  ou  prensada,  revestidas  ou  não  com material plástico, entre outros),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exceto para aplicação rural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 ≤ 0,1-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Volume de madeira a ser processada (VMMP)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50 m³/mês ou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 + área de Estocagem, quando houver ≤ 0,1-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VMP ≤20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 &lt; VMP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page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VMP &gt; 200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4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8.03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artigos de colchoaria e estofados.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≤0,2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≤ 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8.04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Tratamento térmico de embalagens de madeira, sem uso de produtos químicos ou orgânicos.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9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8.05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Serraria (somente desdobra de madeira).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Volume mensal de madeira a ser serrada (m³/mês)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 ≤ 150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150 &lt; VMP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 &lt; VMP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VMP &gt; 1.000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8.06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caixas de madeira para uso agropecuário e paletes.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Volume mensal de madeira a ser processada (m³/mês)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 ≤ 150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150 &lt; VMP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 &lt; VMP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VMP &gt; 1.000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</w:tbl>
    <w:p>
      <w:r>
        <w:br w:type="page"/>
      </w:r>
    </w:p>
    <w:tbl>
      <w:tblPr>
        <w:tblStyle w:val="6"/>
        <w:tblW w:w="10849" w:type="dxa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1"/>
        <w:gridCol w:w="26"/>
        <w:gridCol w:w="3120"/>
        <w:gridCol w:w="283"/>
        <w:gridCol w:w="1276"/>
        <w:gridCol w:w="992"/>
        <w:gridCol w:w="851"/>
        <w:gridCol w:w="850"/>
        <w:gridCol w:w="851"/>
        <w:gridCol w:w="139"/>
        <w:gridCol w:w="569"/>
        <w:gridCol w:w="142"/>
        <w:gridCol w:w="144"/>
        <w:gridCol w:w="105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2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CELULOSE E PAPEL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9.01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e/ou corte de embalagens e/ou artefatos de papel ou papelão, inclusive com impressão e/ou plastificação.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construida + área de Estocagem, quando houver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0,03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8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BORRACHA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10.01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Recondicionamento de pneus com vulcanização a frio ou a quente (autoclave),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com uso exclusivo de energia elétrica ou gás.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(Unidade Mês).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500 &lt; CMP ≤</w:t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br w:type="page"/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5.000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10.02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Recondicionamento de pneus com vulcanização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a  frio  ou  a  quente  (autoclave), 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com  queima  de lenha ou combustíveis líquidos.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(Unidade Mês).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500 &lt; CMP ≤</w:t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2.000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2.000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48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10.03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artefatos  de  borracha  e  espuma  de  borracha  (peças  e  acessórios  para  veículos, máquinas  e  aparelhos,  correias,  canos,  tubos,  artigos  para  uso  doméstico,  galochas,  botas  e outros), bem como reaproveitamento de artefatos deste material.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0,2 &lt; I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10.04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Beneficiamento de borracha natural, sem produção de artefatos deste material.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I=área construída (ha) + área de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0,2 &lt; I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8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QUÍMICA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3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resinas, fibras e fios artificiais e sintéticos e de borracha e látex sintéticos.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1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corantes e pigmentos.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de óleos, gorduras e ceras vegetais e animais em bruto, de óleos de essências vegetais, e outros produtos de destilação da madeira –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exceto 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refino  de  produtos  alimentares  ou  para produção de combustíveis.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=Área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concentrados aromáticos naturais, artificiais e sintéticos – inclusive mescla.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sabão, detergentes e glicerina.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7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Fracionamento, embalagem e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estocagem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produtos químicos e de limpeza.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Índice (I) = Área construída</w:t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+ área de estocagem, quando houver ≤ 0,5há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5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produtos de perfumaria/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cosméticos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/ Industrialização de produtos derivados de poliestireno expansível (isopor).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0,5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11.09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Curtimento e outras preparações de couro e peles, sem uso de produtos químicos (uso de extratos vegetais, salga e outros).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(peças/mês)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10.000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10.000 &lt; CMP</w:t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≤ 50.000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100.000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CMP ≤ 100.000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11.10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Aplicação de produtos domissanitários no controle de pragas e vetores, exclusivamente no âmbito do território do município.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PRODUTOS DE MATERIAIS PLÁSTICOS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12.01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artigos de material plástico para usos industriais, comerciais e/ou domésticos, com ou sem impressão,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sem realização de processo de reciclagem.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0,2 &lt; I ≤ 0,5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TÊXTIL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3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13.01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Beneficiamento, fiação e tecelagem de fibras têxteis,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sem tingimento.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 + área de estocagem, quando houver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0,1 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≤ 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13.02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Beneficiamento, fiação e tecelagem de fibras têxteis,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com tingimento.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1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73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13.03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cordas, cordões e cabos de fibras têxteis e sintéticas.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≤ 0,5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9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13.04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estopa, materiais para estofos e recuperação de resíduos têxteis,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estamparia e/ou tintura.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 + área de estocagem, quando houver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1 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I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5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13.05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estopa, materiais para estofos e recuperação de resíduos têxteis,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com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estamparia e/ou tintura.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I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9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13.06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artigos de passamanaria, fitas, filós, rendas e bordados.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 + área de estocagem, quando houver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1 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I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13.07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artefatos têxteis não especificados,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com estamparia e/ou tintura.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VESTUÁRIO E ARTEFATOS DE TECIDOS, COUROS E PELES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14.01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Customização de roupa, com lixamento e descoloração, sem geração de efluente.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3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14.02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Confecções de roupas e artefatos, em tecido, de cama, mesa e banho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 xml:space="preserve">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tingimento, estamparia e/ou utilização de produtos químicos.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(área construída + área de estocagem, quando houver) ≤ 0,05 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0,05 há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6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14.03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Confecções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de   roupas   e   artefatos,   em   tecido,   de   cama,   mesa   e  banho, 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com 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tingimento, estamparia e/ou utilização de produtos químicos.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&lt;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14.04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Lavanderia industrial com tingimento, amaciamento e/ou outros acabamentos em roupas, peças do vestuário e artefatos diversos de tecidos.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        de         unidades         processadas (unidades/dia)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500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 &lt; I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NUP ≤ 2.000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NUP ≤ 2.000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8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14.05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Lavanderia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comercial  de  artigos  de  vestuário,  cama,  mesa  e  banho,  exceto  artigos  hospitalares, sem tingimento de peças.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8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14.06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Lavanderia comercial de artigos de vestuário,cama,  mesa e  banho,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com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lavagem de  artigos de serviços de saúde,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tingimento de peças.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construída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+ área de estocagem, quando houver ≤ 0,1 ha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8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14.07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artigos diversos 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couros,  peles  e  materiais  sintéticos,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curtimento  e/ou tingimento e/ou tratamento de superfície.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0,5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8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14.08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de  artigos  diversos  de  couros,  peles  e  materiais  sintéticos,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com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curtimento  e/ou tingimento e/ou tratamento de superfície.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PRODUTOS ALIMENTARES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2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Torrefação e/ou moagem de café e outros grãos.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processamento (ton/d)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(CMP) ≤ 1 t/ dia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  ≤ 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CP 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 &gt;5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4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balas, caramelos, pastilhas, drops, bombons, chocolates, gomas de mascar e afins,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exceto produção 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0,03&lt; 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9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Entreposto e envase de mel, associado ou não à produção de balas e doces deste produto,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exceto produção 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&gt;</w:t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0,05e  ≤ 0,3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&gt; 0,05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52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doces, refeições conservadas, conservas de frutas, legumes e outros vegetais,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exceto produção 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Índice (I) = Área construída + área de estocagem, quando houver e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Preparação de sal de cozinha.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Índice (I) = Área construída + área de estocagem, quando houver</w:t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br w:type="page"/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≤ 0,1 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Refino e preparação de óleos e gorduras vegetais, produção de manteiga de cacau e gorduras de origem animais destinados à alimentação.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84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vinagre.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Índice (I) = Área construída + área de estocagem, quando houver e ≤ 0,1</w:t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5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Industrialização do leite (incluindo beneficiamento, pasteurização e produção de leite em pó), com queijaria.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processamento (litro/dia)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CP ≤ 30.000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CP ≤ 30.000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15.09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Industrialização do leite (incluindo beneficiamento, pasteurização e produção de leite em pó), sem queijaria.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processamento (litro/dia)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CP ≤ 30.000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CP ≤ 60.000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CP ≤ 60.000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massas alimentícias e biscoitos,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exceto produção 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&gt;0,03 e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86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polpa de frutas,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exceto produção 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Quantidade máxima de fruta processada (t/dia)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Quantidade máxima de fruta processada (FP)</w:t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≤ 5 t/dia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5 &lt; I ≥ 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20 &lt; I ≤ 50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FP ≤ 50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 Narrow" w:hAnsi="Arial Narrow" w:eastAsia="Times New Roman" w:cs="Times New Roman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26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fermentos e leveduras.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 + área de estocagem, quando houver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page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0,1 ha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8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Industrialização/Beneficiamento de pescado.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processamento (kg/dia)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 &lt; I  ≤ 2.000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3.000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6.000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6.000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Açougues e/ou peixarias, quando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não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localizados em área urbana consolidada.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processamento (kg/dia)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2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Abatedouro de frango e outros animais de pequeno porte, 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exceto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animais silvestres.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abate (animais/dia)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100 &lt; CA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50.000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50.000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Abatedouro de suínos, ovinos e outros animais de médio porte.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abate (animais/dia)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80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80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Abatedouro de bovinos e outros animais de grande porte.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abate (animais/dia)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40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40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Abatedouros mistos de bovinos e suínos e outros animais de médio e grande porte.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máxima   de   abates   =   (Número máximo     de     animais     de     grande     porte abatidos/dia x 3) + número máximo de animais de médio porte abatidos/dia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80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80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15.19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Frigoríficos sem abate.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26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15.20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Industrialização de carne, incluindo desossa e charqueada; produção de embutidos e outros produtos alimentares de origem animal.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 &lt; CMP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15.21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temperos e condimentos.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4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15.22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Supermercados e hipermercados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com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 atividades de corte e limpeza de carnes, pescados e semelhantes (com açougue, peixaria e outros),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não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 localizado em área urbana consolidada.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15.23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sorvetes, tortas geladas e afins,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exceto produção 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 &lt; CMP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15.24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ração balanceada para animais, sem cozimento e/ou digestão (apenas mistura).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100 &lt; CMP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&gt; 1.000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15.25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fécula, amido e seus derivados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máxima   de   processamento   de matéria-prima (t/mês)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≤ 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 &lt; CMP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CMP &gt; 30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15.26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  <w:t xml:space="preserve">Supermercados e hipermercados </w:t>
            </w:r>
            <w:r>
              <w:rPr>
                <w:rFonts w:hint="default" w:ascii="Arial" w:hAnsi="Arial" w:eastAsia="Times New Roman" w:cs="Arial"/>
                <w:b/>
                <w:color w:val="000000"/>
                <w:sz w:val="16"/>
                <w:szCs w:val="16"/>
                <w:lang w:eastAsia="pt-BR"/>
              </w:rPr>
              <w:t>com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  <w:t xml:space="preserve"> atividades de corte e limpeza de carnes, pescados e semelhantes (com açougue, peixaria e outros)</w:t>
            </w:r>
            <w:r>
              <w:rPr>
                <w:rFonts w:hint="default" w:ascii="Arial" w:hAnsi="Arial" w:eastAsia="Times New Roman" w:cs="Arial"/>
                <w:b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I = Área construída (ha) + área de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  <w:t>15.27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  <w:t xml:space="preserve">Supermercados e hipermercados </w:t>
            </w:r>
            <w:r>
              <w:rPr>
                <w:rFonts w:hint="default" w:ascii="Arial" w:hAnsi="Arial" w:eastAsia="Times New Roman" w:cs="Arial"/>
                <w:b/>
                <w:color w:val="000000"/>
                <w:sz w:val="16"/>
                <w:szCs w:val="16"/>
                <w:lang w:eastAsia="pt-BR"/>
              </w:rPr>
              <w:t>sem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  <w:t xml:space="preserve"> atividades de corte e limpeza de carnes, pescados e semelhantes (sem açougue, peixaria e outros).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I = Área construída (ha) + área de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23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pt-BR"/>
              </w:rPr>
              <w:t>15.28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highlight w:val="none"/>
                <w:lang w:eastAsia="pt-BR"/>
              </w:rPr>
              <w:t xml:space="preserve">Açougues e peixarias 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highlight w:val="none"/>
                <w:lang w:val="en-US" w:eastAsia="pt-BR"/>
              </w:rPr>
              <w:t xml:space="preserve">e outros, com comercialização, 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highlight w:val="none"/>
                <w:lang w:eastAsia="pt-BR"/>
              </w:rPr>
              <w:t>corte e limpeza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highlight w:val="none"/>
                <w:lang w:val="en-US" w:eastAsia="pt-BR"/>
              </w:rPr>
              <w:t xml:space="preserve"> de 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highlight w:val="none"/>
                <w:lang w:eastAsia="pt-BR"/>
              </w:rPr>
              <w:t xml:space="preserve">localizados em </w:t>
            </w:r>
            <w:r>
              <w:rPr>
                <w:rFonts w:hint="default" w:ascii="Arial" w:hAnsi="Arial" w:eastAsia="Times New Roman" w:cs="Arial"/>
                <w:b/>
                <w:color w:val="000000"/>
                <w:sz w:val="16"/>
                <w:szCs w:val="16"/>
                <w:highlight w:val="none"/>
                <w:lang w:eastAsia="pt-BR"/>
              </w:rPr>
              <w:t>zona urbana consolidada.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I = Área construída (ha) + área de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hd w:val="clear" w:fill="938953" w:themeFill="background2" w:themeFillShade="7F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hd w:val="clear" w:fill="938953" w:themeFill="background2" w:themeFillShade="7F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 DE BEBIDAS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Padronização e envase, sem produção, de bebidas em geral, alcoólicas ou não, exceto aguardente e água de coco.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armazenamento (litros)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15.000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15.000 &lt; CA 50.000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120.000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120.000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6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Preparação e envase de água de coco.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máxima diária (litros/dia)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5.000 &lt; PD ≤ 10.000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30.000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30.000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de  vinhos,  licores  e  outras  bebidas  alcoólicas  semelhantes,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exceto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aguardentes, cervejas, chopes e maltes,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exceto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máxima diária (litros/dia)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5.000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5.000 &lt; PD ≤ 10.000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25.000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25.000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Fabricação de cervejas, chopes e maltes,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exceto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artesanal.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máxima diária (litros/dia)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5.000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5.000 &lt; PD ≤ 10.000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25.000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≤25.000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sucos.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máxima diária (litros/dia)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1.000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 &lt; PD ≤ 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10.000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10.000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refrigerantes e outras bebidas não alcoólicas, exceto sucos.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máxima diária (litros/dia)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5.000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5.000 &lt; PD ≤ 10.000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 25.000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PD ≤25.000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34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Produção artesanal de alimentos e bebidas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construída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≤ 201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201 &lt; A ≤400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&gt; 400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8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Resfriamento e distribuição de leite, sem beneficiamento de qualquer natureza.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de armazenamento (litros)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 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5.000 &lt; CA ≤ 40.000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&gt; 40.000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5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16.09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Padronização e envase de aguardente (sem produção).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máxima de armazenamento (litros)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INDÚSTRIAS DIVERSAS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2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 peças,   ornatos,   estruturas   e   pré-moldados   de   cimento,   gesso   e   lama   do beneficiamento de rochas ornamentais.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 + área de estocagem, quando houver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0,1 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 há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e elaboração de vidros e cristais.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8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Corte e acabamento de vidros, sem fabricação e/ou elaboração.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 + área de estocagem, quando houver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0,05 ha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0,05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e elaboração de produtos diversos de minerais não metálicos (abrasivos, lixas, Esmeril e outros).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peças, artefatos e estruturas utilizando fibra de vidro e resina.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 há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0,2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Gráficas e editoras.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útil(há)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 ≤ 0,05 ha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0,05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0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instrumentos musicais, exceto de madeira, e fitas magnéticas.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0,05 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aparelhos ortopédicos.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17.09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instrumentos de precisão não elétricos.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17.10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aparelhos para uso médico, odontológico e cirúrgico.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 ≤ 0,3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17.11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artigos esportivos.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17.12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artigos de joalheria, bijuteria, ourivesaria e lapidação.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0,1 &lt; I  ≤ 0,3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3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17.13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pincéis,  vassouras,  escovas  e  semelhantes,  inclusive  com  reaproveitamento  de materiais.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17.14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produtos descartáveis de higiene pessoal.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 ≤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≥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17.15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Beneficiamento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   embalagem   de   produtos   fitoterápicos   naturais,   inclusive   medicamentos   e suplementos alimentares.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(I) = área construída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+ área de estocagem, quando houver &gt; 0,03 há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0,03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74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17.16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Preparação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fumo,   fabricação  de   cigarros,  charutos   e  cigarrilhas   e  outras   atividades  de elaboração do tabaco.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 ≤ 0,4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0,5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17.17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Fabricação de velas de cera e parafina.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0,2 &lt; I  ≤ 0,5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br w:type="page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Uso e Ocupação do Solo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72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Loteamento predominantemente residencial ou para unidades habitacionais populares.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Índice=  Número  de  lotes  x  Número  de  lotes x Área total (ha) / 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300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300 &lt; I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3.000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Condomínios Horizontais.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Índice=  Número  de  lotes  x  Número  de  lotes x Área total (ha) / 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300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300 &lt; I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3.000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Parcelamento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do  solo  para  fins  urbanos  exclusivamente  sob  a  forma  de  desmembramento.  Não inclui loteamento.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Unidades habitacionais populares em loteamentos consolidados ou já licenciados.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Condomínios ou conjuntos habitacionais verticais.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Índice=  Número  de  unidades  habitacionais (apartamentos)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300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300 &lt; I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3.000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Terraplanagem (corte e aterro) quando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vinculada   à   atividade   não   sujeita   ao   licenciamento ambiental (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exceto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para a terraplanagem executada no interior da propriedade rural e com objetivo agropecuário, inclusive carreadores).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terraplanada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0,05 &lt;AT ≤1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AT ≤ 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&gt; 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Loteamentos industriais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total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≤10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 &lt; AT ≤ 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ATO ≤ 20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Loteamentos ou distritos empresariais.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total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 ≤10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 &lt; AT ≤ 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ATO ≤ 20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18.09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Empreendimentos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desportivos,turísticos,recreativos  ou  de  lazer,  públicos  ou  privados  (praças, campos de futebol, quadras, ginásios, parque aquático, haras, clubes, complexos esportivos ou de lazer em geral, entre outros).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1&lt; AU ≤  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3&lt; AU ≤  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≤ 10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≤ 10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18.10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Projetos de Assentamento de Reforma Agrária.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de Famílias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NF ≤20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 &lt; NF ≤ 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NF ≤ 50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br w:type="page"/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18.11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Projetos de urbanização inseridos em programas de regularização fundiária (conjunto de obras de casas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populares,   esgotamento   sanitário,   abastecimento   de   água,   drenagem,   contenção   de encostas, equipamentos comunitários de uso público, recomposição de vegetação e outros).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de abrangência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AA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AA ≤ 5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18.12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Empreendimentos de hospedagem (pousadas, casas de repouso, centros de reabilitação, hotéis e motéis) instalados em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área rural.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 = Número de leitos x 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 &lt; I  ≤100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8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18.13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Cemitérios horizontais (cemitérios parques).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de jazigos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NJ  ≤500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500&lt; NJ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 &lt; AU ≤ 3.000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NJ ≤ 3000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18.14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Cemitérios verticais.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de lóculos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NJ  ≤500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500&lt; NJ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1.000 &lt; AU ≤ 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NL ≤5000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3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18.15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Terraplanagem, quando não vinculada à  atividade  sujeita  ao  licenciamento  ambiental  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(exclusivo para  terraplanagem  executada  no  interior  da  propriedade  rural  e  com  objetivo  agropecuário, inclusive carreador).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Movimentação de solo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  ≤2.000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2.000 &lt; A  ≤ 10.000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10.000 &lt; A  ≤ 30.000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&gt; 30.000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pt-BR"/>
              </w:rPr>
              <w:t>18.16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pt-BR"/>
              </w:rPr>
              <w:t>Condomínios verticais (moradias multifamiliares e/ ou unidades comerciais).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Índice=  Número  de  unidades  habitacionais (apartamentos)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≤ 300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&gt;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300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6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ENERGIA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19.01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Envasamento e industrialização de gás.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 2 &lt; I  ≤1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18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19.02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Implantação de Linhas de Transmissão de energia elétrica.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Tensão (Kv)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 ≤138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138 &lt; T ≤230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 &gt; 230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4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19.03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Usina de geração de energia solar fotovoltaica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de intervenção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AIN ≤50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AIN ≤ 50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19.04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Implantação de Subestação de energia elétrica.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de intervenção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AIN ≤1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T ≤1,3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 &gt; 1,3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1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pt-BR"/>
              </w:rPr>
              <w:t>19.05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highlight w:val="none"/>
                <w:lang w:val="en-US" w:eastAsia="pt-BR"/>
              </w:rPr>
              <w:t>Estação de telecomunicação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de intervenção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567" w:type="dxa"/>
            <w:gridSpan w:val="2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br w:type="page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120" w:type="dxa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GERENCIAMENTO DE RESÍDUOS</w:t>
            </w:r>
          </w:p>
        </w:tc>
        <w:tc>
          <w:tcPr>
            <w:tcW w:w="283" w:type="dxa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9" w:type="dxa"/>
            <w:gridSpan w:val="3"/>
            <w:shd w:val="clear" w:color="auto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6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Triagem,desmontagem  e/ou  armazenamento  temporário  de  resíduos  sólidos  reutilizáveis  e/ou recicláveis não perigosos.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 1 &lt; I  ≤0,5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5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Triagem,desmontagem  e/ou  armazenamento  temporário  de  resíduos  sólidos  Classe  I  (incluindo ferro velho).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 2 &lt; I  ≤0,5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0,5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4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Armazenamento, reciclagem e/ou comércio de óleo de origem vegetal usado,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beneficiamento.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total de Armazenamento (CA)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≤15.000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&lt; 15.000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Reciclagem e/ou recuperação de resíduos sólidos triados, não perigosos.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 2 &lt; I  ≤0,5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0,5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12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Compostagem,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exceto resíduos orgânicos de atividades agrosilvopastoris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(ha), quando houver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 2 &lt; I  ≤0,5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0,5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Depósito de rejeitos / estéreis provenientes da extração de rochas, exceto lama do beneficiamento de rochas ornamentais (LBRO).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 2 &lt; AU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6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Transbordo de resíduos sólidos urbanos e rejeitos oriundos de manejo e limpeza pública de resíduos sólidos urbanos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e/ou demais resíduos não perigosos, Classes IIA e IIB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Quantidade de resíduos recebida (t/dia)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QRR  ≤ 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QRR  ≤ 30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Transbordo, triagem e armazenamento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temporário  de  resíduos  da  construção  civil  ou  resíduos volumosos.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20.09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Aterro de resíduos sólidos e rejeitos oriundos de atividades de construção civil - Classe 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de armazenamento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10.000 m³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20.10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Posto e central de recebimento de embalagens de agrotóxicos.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construída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33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20.11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Compostagem de resíduos orgânicos provenientes exclusivamente de atividades agropecuárias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(m2)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  ≤500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500 &lt; A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2.000 &lt; A  ≤ 5.000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&gt; 5.000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OBRAS E ESTRUTURAS DIVERSAS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4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Microdrenagem(Redes  de  drenagem  de  águas  pluviais  com  diâmetro  de  tubulação  requerido menor  que  1.000  mm  e  seus  dispositivos  de  drenagem),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necessidade  de  intervenção  em corpos  hídricos  (dragagens,  canalização  e/ou  retificações,  dentre  outros).  Não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inclui  canais  de drenagem.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Urbanização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em   margens  de   corpos  hídricos   interiores  (lagunares,   lacustres,  fluviais   e  em reservatórios).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de intervenção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AIN ≤1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AIN ≤10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AIN &gt;10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Urbanização de orlas (marítimas e estuarinas).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de intervenção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AIN ≤1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AIN ≤10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AIN &gt;10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2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Atracadouro,ancoradouro,  píeres  e  trapiches,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realização  de  obras  de  dragagem,  aterros, enroscamento e/ou quebra-mar.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    de     atracação/ancoragem     em Número de embarcações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NE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NE ≤ 5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Rampa para lançamento de barcos.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Restauração, reabilitação e/ou melhoramento de estradas ou rodovias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municipais e vicinais.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Extensão da via (km)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EV ≤ 30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30 &lt; EV  ≤80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EV &gt; 80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Pavimentação de estradas e rodovias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municipais e vicinais.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Extensão da Via (EV)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EV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 &lt; EV  ≤20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EV &gt; 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1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Implantação de obras de arte corrente em estradas e rodovias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municipais e vicinais.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Largura do Corpo Hídrico (LC)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LC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5 &lt; LC ≤ 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LC &gt; 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21.09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Implantação de obras de arte especiais.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Comprimento da estrutura (m)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CE ≤ 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30 &lt; CE ≤ 90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CE &gt; 90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CE ≤ 30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CE ≤ 30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21.10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Estabelecimentos prisionais e semelhantes.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Projetada (Número de pessoas)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CPR ≤ 150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150 &lt; CPR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page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CPR &gt; 450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9" w:hRule="atLeast"/>
        </w:trPr>
        <w:tc>
          <w:tcPr>
            <w:tcW w:w="56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282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ARMAZENAMENTO E ESTOCAGEM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Terminal de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recebimento, armazenamento e expedição de combustíveis líquidos (gasolina, álcool, diesel e semelhantes).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de armazenamento (m³)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≤15.000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Terminal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armazenamento  de  gás,  sem  envasamento  e/ou  processamento,  não  associado  à atividade portuária.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Índice=   Área   construída   (ha)   +   Área   de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Armazenamento e/ou depósito de produtos químicos e/ou perigosos fracionados (em recipiente com capacidade máxima de 200 litros e/ou quilos), exceto agrotóxicos e afins.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Índice = Área construída (ha) + Área de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I ≤ 0,1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Pátio de estocagem, armazém ou depósito exclusivo de produtos extrativos de origem mineral em bruto.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 &lt; I  ≤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4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Pátio de estocagem, armazém ou depósito exclusivo para blocos de rochas ornamentais.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 &lt; I  ≤ 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39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Pátio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de  estocagem,  armazém  ou  depósito  exclusivo  para  grãos  e  outros  produtos  alimentícios, associado ou não à classificação (rebeneficiamento), incluindo frigorificados.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I  ≤ 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5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Pátio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de  estocagem,  armazém  ou  depósito  para  cargas  gerais,  em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área/galpão  aberto  e/ou fechado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(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exceto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produtos/resíduos químicos e/ou perigosos e/ou alimentícios e/ou combustíveis), e  materiais  não  considerados  em  enquadramento  específico,  inclusive  para  armazenamento  e ensacamento  de  carvão,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com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atividades  de  manutenção  e/ou  lavagem  de  equipamentos  e/ou unidade de abastecimento de veículos.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3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1542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22.08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Pátio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de  estocagem,  armazém  ou  depósito  para  cargas  gerais,  em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galpão  fechado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(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exceto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produtos/resíduos químicos e/ou  perigosos e/ou  alimentícios e/ou  combustíveis),  e  materiais não considerados  em  enquadramento  específico,  inclusive  para  armazenamento  e  ensacamento  de carvão,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atividades de manutenção, lavagem de equipamentos e unidade de abastecimento de veículos.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0,0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>3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 &lt; I ≤ 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3 &lt; I  ≤ 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2674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22.09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Pátio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de  estocagem,  armazém  ou  depósito  para  cargas  gerais,  em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área  aberta  e/ou  mista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 galpão fechado + área aberta, (exceto produtos/resíduos químicos e/ou perigosos e/ou alimentícios e/ou  combustíveis),  e  materiais  não  considerados  em  outro  enquadramento  específico,  incluindo armazenamento e ensacamento de carvão, e armazenamento de are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>ia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, brita e outros materiais de construção   civil,  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sem  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atividades   de   manutenção,   lavagem   de   equipamentos   e   unidade   de abastecimento de veículos.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I=  Área  construída  (ha)  +  Área  de 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&gt; 0,1 e ≤ 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0,05 &lt; I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≤ 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&gt; 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558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22.10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Armazenamento de produtos domissanitários e/ou de fumigação e/ou de expurgo.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281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146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SERVIÇOS DE SAÚDE E ÁREAS AFINS</w:t>
            </w:r>
          </w:p>
        </w:tc>
        <w:tc>
          <w:tcPr>
            <w:tcW w:w="283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gridSpan w:val="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7" w:type="dxa"/>
            <w:gridSpan w:val="2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30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23.01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de leitos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NLE ≤ 200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NLE ≤ 200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604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23.02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Laboratórios de análises clínicas, patológicas, microbiológicas e/ou de biologia molecular.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98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23.03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Laboratório de análises de parâmetros ambientais ou de controle de qualidade de alimentos ou de produtos farmacêuticos, ou agronômicos (com utilização de reagente químico).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Índice=   Área   construída   (ha)   +   Área   de estocagem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≤ 0,3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30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23.04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Hospital veterinário.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Número de leitos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NLE ≤ 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NLE ≤ 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NLE ≤ 100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73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23.05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Unidade Básica de Saúde, clínicas médicas e veterinárias (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com procedimentos cirúrgicos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1454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23.06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Serviços de Medicina legal e serviços funerários com embalsamento (Tanotopraxia e Somato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conservação).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Índice(I)    =    Área    construída    +    área    de estocagem, quando houver ≤ 1 ha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1 ha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I  ≤ 1 ha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297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296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ATIVIDADES DIVERSAS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901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24.01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Posto revendedor de combustíveis, com</w:t>
            </w: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uso de qualquer tanque, ou  posto de  abastecimento de combustíveis (não revendedor), com uso de tanque enterrado.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de armazenamento (m³)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 ≤ 60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60 &lt;CA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&gt; 105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74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24.02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Posto de abastecimento de combustíveis (não revendedor) somente com tanque aéreo.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Capacidade de armazenamento (m³)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15 &lt;CA  ≤ 60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60 &lt;CA  ≤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 &gt;150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420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24.03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Lavador de veículos.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975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24.04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Garagens de ônibus e outros veículos automotores com atividades de manutenção e/ou lavagem e/ou abastecimento de veículos.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total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highlight w:val="none"/>
                <w:lang w:eastAsia="pt-BR"/>
              </w:rPr>
              <w:t xml:space="preserve">A  ≤ </w:t>
            </w:r>
            <w:r>
              <w:rPr>
                <w:rFonts w:eastAsia="Times New Roman" w:cs="Arial"/>
                <w:color w:val="000000"/>
                <w:sz w:val="20"/>
                <w:szCs w:val="20"/>
                <w:highlight w:val="none"/>
                <w:lang w:eastAsia="pt-BR"/>
              </w:rPr>
              <w:t xml:space="preserve"> 0,03 ha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0,5 &lt; A ≤ 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 ≤ 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ATO  ≤ 3</w:t>
            </w: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963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24.05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Canteiros de obras, vinculados a atividade que já obteve licença ou dispensadas de licenciamento, incluindo as atividades de manutenção e/ou lavagem e/ou abastecimento de veículos.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Área total (ha)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 ≤ 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1 &lt; A ≤ 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A &gt; 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244" w:hRule="atLeast"/>
        </w:trPr>
        <w:tc>
          <w:tcPr>
            <w:tcW w:w="541" w:type="dxa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296" w:type="dxa"/>
            <w:gridSpan w:val="13"/>
            <w:shd w:val="clear" w:color="000000" w:fill="938953" w:themeFill="background2" w:themeFillShade="7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SANEAMENTO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709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25.01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Estação de Tratamento de Água (ETA)- vinculada à sistema público de tratamento e distribuição de água 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Vazão Máxima de Projeto (VMP)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(VMP) &lt; 100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l/s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(VMP) &lt; 100</w:t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l/s</w:t>
            </w: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val="847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  <w:t>25.02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Estação de Tratamento de Esgoto (ETE),sem  lagoas  – vinculada  à sistema  público de  coleta e tratamento de esgoto.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Vazão Máxima de Projeto (VMP)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20 &lt;VMP) ≤ 50 l/s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VMP) ≤ 50 l/s</w:t>
            </w: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MÉDIO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80" w:right="1701" w:bottom="851" w:left="1701" w:header="340" w:footer="34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847" w:type="dxa"/>
      <w:tblInd w:w="-923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541"/>
      <w:gridCol w:w="452"/>
      <w:gridCol w:w="2694"/>
      <w:gridCol w:w="283"/>
      <w:gridCol w:w="1276"/>
      <w:gridCol w:w="992"/>
      <w:gridCol w:w="851"/>
      <w:gridCol w:w="850"/>
      <w:gridCol w:w="855"/>
      <w:gridCol w:w="855"/>
      <w:gridCol w:w="1198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90" w:hRule="atLeast"/>
      </w:trPr>
      <w:tc>
        <w:tcPr>
          <w:tcW w:w="993" w:type="dxa"/>
          <w:gridSpan w:val="2"/>
          <w:tcBorders>
            <w:bottom w:val="single" w:color="auto" w:sz="4" w:space="0"/>
          </w:tcBorders>
          <w:shd w:val="clear" w:color="auto" w:fill="FFFFFF" w:themeFill="background1"/>
          <w:vAlign w:val="center"/>
        </w:tcPr>
        <w:p>
          <w:pPr>
            <w:spacing w:after="0" w:line="240" w:lineRule="auto"/>
            <w:ind w:left="-354"/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  <w:r>
            <w:rPr>
              <w:rFonts w:ascii="Arial" w:hAnsi="Arial" w:cs="Arial"/>
              <w:b/>
              <w:bCs/>
              <w:sz w:val="16"/>
              <w:szCs w:val="20"/>
              <w:lang w:eastAsia="pt-BR"/>
            </w:rPr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-330200</wp:posOffset>
                </wp:positionV>
                <wp:extent cx="527050" cy="521970"/>
                <wp:effectExtent l="19050" t="0" r="6350" b="0"/>
                <wp:wrapTopAndBottom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54" w:type="dxa"/>
          <w:gridSpan w:val="9"/>
          <w:tcBorders>
            <w:bottom w:val="single" w:color="auto" w:sz="4" w:space="0"/>
          </w:tcBorders>
          <w:shd w:val="clear" w:color="auto" w:fill="FFFFFF" w:themeFill="background1"/>
          <w:vAlign w:val="center"/>
        </w:tcPr>
        <w:p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  <w:r>
            <w:rPr>
              <w:rFonts w:ascii="Arial" w:hAnsi="Arial" w:cs="Arial"/>
              <w:b/>
              <w:bCs/>
              <w:sz w:val="16"/>
              <w:szCs w:val="20"/>
            </w:rPr>
            <w:t>Prefeitura de Viana</w:t>
          </w:r>
        </w:p>
        <w:p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  <w:r>
            <w:rPr>
              <w:rFonts w:ascii="Arial" w:hAnsi="Arial" w:cs="Arial"/>
              <w:b/>
              <w:bCs/>
              <w:sz w:val="16"/>
              <w:szCs w:val="20"/>
            </w:rPr>
            <w:t xml:space="preserve">Secretaria Municipal de Meio Ambiente </w:t>
          </w:r>
          <w:r>
            <w:rPr>
              <w:rFonts w:ascii="Arial" w:hAnsi="Arial" w:cs="Arial"/>
              <w:b/>
              <w:bCs/>
              <w:sz w:val="16"/>
              <w:szCs w:val="20"/>
              <w:lang w:val="pt-BR"/>
            </w:rPr>
            <w:t>- SEMMA</w:t>
          </w:r>
        </w:p>
        <w:p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  <w:r>
            <w:rPr>
              <w:rFonts w:ascii="Arial" w:hAnsi="Arial" w:cs="Arial"/>
              <w:b/>
              <w:bCs/>
              <w:sz w:val="16"/>
              <w:szCs w:val="20"/>
            </w:rPr>
            <w:t>Gerência de Licenciamento Ambiental</w:t>
          </w:r>
        </w:p>
        <w:p>
          <w:pPr>
            <w:spacing w:after="0" w:line="240" w:lineRule="auto"/>
            <w:rPr>
              <w:rFonts w:ascii="Arial" w:hAnsi="Arial" w:eastAsia="Times New Roman" w:cs="Arial"/>
              <w:b/>
              <w:bCs/>
              <w:sz w:val="16"/>
              <w:szCs w:val="16"/>
              <w:lang w:eastAsia="pt-BR"/>
            </w:rPr>
          </w:pPr>
        </w:p>
      </w:tc>
    </w:tr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435" w:hRule="atLeast"/>
      </w:trPr>
      <w:tc>
        <w:tcPr>
          <w:tcW w:w="10847" w:type="dxa"/>
          <w:gridSpan w:val="1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bookmarkStart w:id="0" w:name="_GoBack"/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>LICENCIAMENTO DE ATIVIDADES DE IMPACTO LOCAL - CLASSIFICAÇÃO DE ATIVIDADES (RESOLUÇÃO CONSEMA 02/2016)</w:t>
          </w:r>
        </w:p>
      </w:tc>
    </w:tr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794" w:hRule="atLeast"/>
      </w:trPr>
      <w:tc>
        <w:tcPr>
          <w:tcW w:w="54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4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4"/>
              <w:szCs w:val="16"/>
              <w:lang w:eastAsia="pt-BR"/>
            </w:rPr>
            <w:t> </w:t>
          </w:r>
        </w:p>
      </w:tc>
      <w:tc>
        <w:tcPr>
          <w:tcW w:w="3146" w:type="dxa"/>
          <w:gridSpan w:val="2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tabs>
              <w:tab w:val="left" w:pos="939"/>
            </w:tabs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>Descrição da Atividade</w:t>
          </w:r>
        </w:p>
      </w:tc>
      <w:tc>
        <w:tcPr>
          <w:tcW w:w="28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textDirection w:val="tbRl"/>
          <w:vAlign w:val="center"/>
        </w:tcPr>
        <w:p>
          <w:pPr>
            <w:spacing w:after="0" w:line="240" w:lineRule="auto"/>
            <w:ind w:left="113" w:right="113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 xml:space="preserve"> Tipo </w:t>
          </w:r>
        </w:p>
      </w:tc>
      <w:tc>
        <w:tcPr>
          <w:tcW w:w="12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>Parâmetro</w:t>
          </w:r>
        </w:p>
      </w:tc>
      <w:tc>
        <w:tcPr>
          <w:tcW w:w="99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4"/>
              <w:szCs w:val="16"/>
              <w:lang w:eastAsia="pt-BR"/>
            </w:rPr>
            <w:t>Classe simplificada</w:t>
          </w:r>
        </w:p>
      </w:tc>
      <w:tc>
        <w:tcPr>
          <w:tcW w:w="85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>Porte Pequeno</w:t>
          </w:r>
        </w:p>
      </w:tc>
      <w:tc>
        <w:tcPr>
          <w:tcW w:w="85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>Porte Médio</w:t>
          </w:r>
        </w:p>
      </w:tc>
      <w:tc>
        <w:tcPr>
          <w:tcW w:w="85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>Porte Grande</w:t>
          </w:r>
        </w:p>
      </w:tc>
      <w:tc>
        <w:tcPr>
          <w:tcW w:w="85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>Porte Limite</w:t>
          </w:r>
        </w:p>
      </w:tc>
      <w:tc>
        <w:tcPr>
          <w:tcW w:w="1198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000000" w:fill="938953" w:themeFill="background2" w:themeFillShade="7F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</w:pPr>
          <w:r>
            <w:rPr>
              <w:rFonts w:ascii="Arial" w:hAnsi="Arial" w:eastAsia="Times New Roman" w:cs="Arial"/>
              <w:b/>
              <w:bCs/>
              <w:color w:val="auto"/>
              <w:sz w:val="16"/>
              <w:szCs w:val="16"/>
              <w:lang w:eastAsia="pt-BR"/>
            </w:rPr>
            <w:t>Potencial Poluidor/ Degradador (B/M/A)</w:t>
          </w:r>
        </w:p>
      </w:tc>
    </w:tr>
    <w:bookmarkEnd w:id="0"/>
  </w:tbl>
  <w:p>
    <w:pPr>
      <w:spacing w:after="0" w:line="240" w:lineRule="auto"/>
      <w:rPr>
        <w:rFonts w:ascii="Arial" w:hAnsi="Arial" w:cs="Arial"/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0F8"/>
    <w:rsid w:val="00005FE8"/>
    <w:rsid w:val="000258E7"/>
    <w:rsid w:val="00071305"/>
    <w:rsid w:val="000953B7"/>
    <w:rsid w:val="000D72DA"/>
    <w:rsid w:val="000E7E85"/>
    <w:rsid w:val="0014079D"/>
    <w:rsid w:val="001418DA"/>
    <w:rsid w:val="001671FA"/>
    <w:rsid w:val="00186A9B"/>
    <w:rsid w:val="001876CF"/>
    <w:rsid w:val="00187FD2"/>
    <w:rsid w:val="00194A19"/>
    <w:rsid w:val="00195502"/>
    <w:rsid w:val="001C6207"/>
    <w:rsid w:val="001F4EA9"/>
    <w:rsid w:val="00224EB5"/>
    <w:rsid w:val="002317C0"/>
    <w:rsid w:val="00242E49"/>
    <w:rsid w:val="0024784D"/>
    <w:rsid w:val="00260D7A"/>
    <w:rsid w:val="00260F98"/>
    <w:rsid w:val="002D00FD"/>
    <w:rsid w:val="002D28EC"/>
    <w:rsid w:val="002F0326"/>
    <w:rsid w:val="003070D7"/>
    <w:rsid w:val="00310D62"/>
    <w:rsid w:val="00316CCD"/>
    <w:rsid w:val="00323805"/>
    <w:rsid w:val="003244B6"/>
    <w:rsid w:val="003748E1"/>
    <w:rsid w:val="00385C90"/>
    <w:rsid w:val="00396CA2"/>
    <w:rsid w:val="003B137E"/>
    <w:rsid w:val="003E3A27"/>
    <w:rsid w:val="003E5246"/>
    <w:rsid w:val="003F66EB"/>
    <w:rsid w:val="00450C4A"/>
    <w:rsid w:val="004720CA"/>
    <w:rsid w:val="00493C03"/>
    <w:rsid w:val="004A2290"/>
    <w:rsid w:val="004D0B8A"/>
    <w:rsid w:val="004D1EAC"/>
    <w:rsid w:val="004E2EDE"/>
    <w:rsid w:val="004E3792"/>
    <w:rsid w:val="004E5637"/>
    <w:rsid w:val="0051067B"/>
    <w:rsid w:val="00542925"/>
    <w:rsid w:val="00557A4C"/>
    <w:rsid w:val="00570A42"/>
    <w:rsid w:val="00575BE0"/>
    <w:rsid w:val="005A0C3F"/>
    <w:rsid w:val="005A7B76"/>
    <w:rsid w:val="005F42C7"/>
    <w:rsid w:val="0060044D"/>
    <w:rsid w:val="00605F13"/>
    <w:rsid w:val="00610E23"/>
    <w:rsid w:val="00614B2B"/>
    <w:rsid w:val="006231FE"/>
    <w:rsid w:val="006564CE"/>
    <w:rsid w:val="00657D61"/>
    <w:rsid w:val="0066285C"/>
    <w:rsid w:val="00670B30"/>
    <w:rsid w:val="00671C81"/>
    <w:rsid w:val="00676DFF"/>
    <w:rsid w:val="006819CF"/>
    <w:rsid w:val="006824AF"/>
    <w:rsid w:val="00696530"/>
    <w:rsid w:val="006A1174"/>
    <w:rsid w:val="006E0B43"/>
    <w:rsid w:val="00745133"/>
    <w:rsid w:val="00775864"/>
    <w:rsid w:val="0078639A"/>
    <w:rsid w:val="007C6112"/>
    <w:rsid w:val="007E3AEE"/>
    <w:rsid w:val="007F4C48"/>
    <w:rsid w:val="008017D6"/>
    <w:rsid w:val="008039FA"/>
    <w:rsid w:val="00813D9F"/>
    <w:rsid w:val="00822891"/>
    <w:rsid w:val="00840153"/>
    <w:rsid w:val="008446FF"/>
    <w:rsid w:val="0085452C"/>
    <w:rsid w:val="008567D8"/>
    <w:rsid w:val="008D1559"/>
    <w:rsid w:val="008D6467"/>
    <w:rsid w:val="009436DA"/>
    <w:rsid w:val="009440C2"/>
    <w:rsid w:val="00973418"/>
    <w:rsid w:val="00974559"/>
    <w:rsid w:val="009822B8"/>
    <w:rsid w:val="00984C4E"/>
    <w:rsid w:val="009F42E4"/>
    <w:rsid w:val="00A02EF4"/>
    <w:rsid w:val="00A05611"/>
    <w:rsid w:val="00A43356"/>
    <w:rsid w:val="00A46E08"/>
    <w:rsid w:val="00A93F6E"/>
    <w:rsid w:val="00AA1F5F"/>
    <w:rsid w:val="00AF4037"/>
    <w:rsid w:val="00AF5ECC"/>
    <w:rsid w:val="00AF6DDF"/>
    <w:rsid w:val="00B02B9E"/>
    <w:rsid w:val="00B10EE9"/>
    <w:rsid w:val="00B2400F"/>
    <w:rsid w:val="00B317EE"/>
    <w:rsid w:val="00B31DDF"/>
    <w:rsid w:val="00B37AA1"/>
    <w:rsid w:val="00B420FE"/>
    <w:rsid w:val="00B606F1"/>
    <w:rsid w:val="00B71858"/>
    <w:rsid w:val="00B801CF"/>
    <w:rsid w:val="00B8315E"/>
    <w:rsid w:val="00B83DAF"/>
    <w:rsid w:val="00B87B30"/>
    <w:rsid w:val="00BA55D7"/>
    <w:rsid w:val="00BD2ED8"/>
    <w:rsid w:val="00BE287E"/>
    <w:rsid w:val="00BE5359"/>
    <w:rsid w:val="00BF5313"/>
    <w:rsid w:val="00C009E8"/>
    <w:rsid w:val="00C03252"/>
    <w:rsid w:val="00C0771F"/>
    <w:rsid w:val="00C2105E"/>
    <w:rsid w:val="00C32EC9"/>
    <w:rsid w:val="00C37734"/>
    <w:rsid w:val="00C42B23"/>
    <w:rsid w:val="00C45823"/>
    <w:rsid w:val="00C475FF"/>
    <w:rsid w:val="00C60396"/>
    <w:rsid w:val="00C71C7E"/>
    <w:rsid w:val="00C7565D"/>
    <w:rsid w:val="00C85131"/>
    <w:rsid w:val="00C96189"/>
    <w:rsid w:val="00CB33C6"/>
    <w:rsid w:val="00CD67A1"/>
    <w:rsid w:val="00CE263A"/>
    <w:rsid w:val="00D01218"/>
    <w:rsid w:val="00D66586"/>
    <w:rsid w:val="00D812AB"/>
    <w:rsid w:val="00D906F2"/>
    <w:rsid w:val="00DB4C6B"/>
    <w:rsid w:val="00DC04E1"/>
    <w:rsid w:val="00DC1D55"/>
    <w:rsid w:val="00E13201"/>
    <w:rsid w:val="00E241A2"/>
    <w:rsid w:val="00E31FEA"/>
    <w:rsid w:val="00E51DB5"/>
    <w:rsid w:val="00E801F0"/>
    <w:rsid w:val="00E86C25"/>
    <w:rsid w:val="00E8702E"/>
    <w:rsid w:val="00EB76B0"/>
    <w:rsid w:val="00EC1549"/>
    <w:rsid w:val="00EC1804"/>
    <w:rsid w:val="00EE2C72"/>
    <w:rsid w:val="00F247E7"/>
    <w:rsid w:val="00F54DFE"/>
    <w:rsid w:val="00F630F8"/>
    <w:rsid w:val="00F73FC3"/>
    <w:rsid w:val="00FB3044"/>
    <w:rsid w:val="00FC4F95"/>
    <w:rsid w:val="00FD4C9A"/>
    <w:rsid w:val="00FF471E"/>
    <w:rsid w:val="04E1777B"/>
    <w:rsid w:val="06152BF9"/>
    <w:rsid w:val="0A401265"/>
    <w:rsid w:val="13AA3465"/>
    <w:rsid w:val="16243020"/>
    <w:rsid w:val="16675444"/>
    <w:rsid w:val="166B7F2C"/>
    <w:rsid w:val="210F5E34"/>
    <w:rsid w:val="23BA3E45"/>
    <w:rsid w:val="3D5F1F38"/>
    <w:rsid w:val="52E37043"/>
    <w:rsid w:val="58D22CD4"/>
    <w:rsid w:val="5C2856F0"/>
    <w:rsid w:val="761E1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Cabeçalho Char"/>
    <w:basedOn w:val="5"/>
    <w:link w:val="2"/>
    <w:qFormat/>
    <w:uiPriority w:val="99"/>
  </w:style>
  <w:style w:type="character" w:customStyle="1" w:styleId="9">
    <w:name w:val="Rodapé Char"/>
    <w:basedOn w:val="5"/>
    <w:link w:val="3"/>
    <w:qFormat/>
    <w:uiPriority w:val="99"/>
  </w:style>
  <w:style w:type="character" w:customStyle="1" w:styleId="10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A08690-7C65-416B-9416-2D7659652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19</Pages>
  <Words>6636</Words>
  <Characters>35836</Characters>
  <Lines>298</Lines>
  <Paragraphs>84</Paragraphs>
  <ScaleCrop>false</ScaleCrop>
  <LinksUpToDate>false</LinksUpToDate>
  <CharactersWithSpaces>42388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2017-07-01T00:33:00Z</dcterms:created>
  <dc:creator>jaquelliny.torquato</dc:creator>
  <cp:lastModifiedBy>jaquelliny.torquato</cp:lastModifiedBy>
  <cp:lastPrinted>2017-12-28T15:48:00Z</cp:lastPrinted>
  <dcterms:modified xsi:type="dcterms:W3CDTF">2019-01-14T17:22:00Z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